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2DD67" w14:textId="77777777" w:rsidR="00F07ABB" w:rsidRPr="00F07ABB" w:rsidRDefault="00F07ABB" w:rsidP="00F07ABB">
      <w:pPr>
        <w:shd w:val="clear" w:color="auto" w:fill="FFFFFF"/>
        <w:spacing w:before="675" w:after="225" w:line="240" w:lineRule="auto"/>
        <w:outlineLvl w:val="0"/>
        <w:rPr>
          <w:rFonts w:ascii="Poppins" w:eastAsia="Times New Roman" w:hAnsi="Poppins" w:cs="Poppins"/>
          <w:b/>
          <w:bCs/>
          <w:color w:val="114C7E"/>
          <w:kern w:val="36"/>
          <w:sz w:val="39"/>
          <w:szCs w:val="39"/>
          <w:lang w:eastAsia="pt-BR"/>
        </w:rPr>
      </w:pPr>
      <w:r w:rsidRPr="00F07ABB">
        <w:rPr>
          <w:rFonts w:ascii="Poppins" w:eastAsia="Times New Roman" w:hAnsi="Poppins" w:cs="Poppins"/>
          <w:b/>
          <w:bCs/>
          <w:color w:val="114C7E"/>
          <w:kern w:val="36"/>
          <w:sz w:val="39"/>
          <w:szCs w:val="39"/>
          <w:lang w:eastAsia="pt-BR"/>
        </w:rPr>
        <w:t>ENGENHARIA LOGÍSTICA</w:t>
      </w:r>
    </w:p>
    <w:p w14:paraId="10C3A41B" w14:textId="318EBED3" w:rsidR="00C43A46" w:rsidRDefault="00C43A46" w:rsidP="00F07ABB"/>
    <w:p w14:paraId="7A620985" w14:textId="77777777" w:rsidR="00F07ABB" w:rsidRDefault="00F07ABB" w:rsidP="00F07ABB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Sobre o curso</w:t>
      </w:r>
    </w:p>
    <w:p w14:paraId="1E14353F" w14:textId="77777777" w:rsidR="00F07ABB" w:rsidRDefault="00F07ABB" w:rsidP="00F07ABB">
      <w:pPr>
        <w:pStyle w:val="Ttulo3"/>
        <w:shd w:val="clear" w:color="auto" w:fill="FFFFFF"/>
        <w:spacing w:before="150" w:after="24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Público-Alvo</w:t>
      </w:r>
    </w:p>
    <w:p w14:paraId="084B642B" w14:textId="77777777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Gestores, professores, pesquisadores e demais profissionais que buscam conhecimentos na área de Logística e Gestão da cadeia de suprimentos (Supply Chain Management). A formação prévia pode ser em Engenharia, Administração, cursos Tecnólogos dos eixos tecnológicos a seguir, que estão listados no Catálogo Nacional de Cursos Superiores de Tecnologia: Controle e Processos Industriais, Gestão e Negócios ou Produção Industrial e cursos superiores, principalmente aqueles que abordem processos logísticos.</w:t>
      </w:r>
    </w:p>
    <w:p w14:paraId="4F4E7487" w14:textId="77777777" w:rsidR="00F07ABB" w:rsidRDefault="00F07ABB" w:rsidP="00F07ABB">
      <w:pPr>
        <w:pStyle w:val="Ttulo3"/>
        <w:shd w:val="clear" w:color="auto" w:fill="FFFFFF"/>
        <w:spacing w:before="150" w:after="24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Objetivos Específicos</w:t>
      </w:r>
    </w:p>
    <w:p w14:paraId="0FD92DA5" w14:textId="77777777" w:rsidR="00F07ABB" w:rsidRDefault="00F07ABB" w:rsidP="00F07ABB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Desenvolver pensamento estratégico sobre as cadeias de suprimentos, reconhecendo a importância das atividades logísticas para a competitividade das empresas.</w:t>
      </w:r>
    </w:p>
    <w:p w14:paraId="19B8DB2D" w14:textId="77777777" w:rsidR="00F07ABB" w:rsidRDefault="00F07ABB" w:rsidP="00F07ABB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Identificar ferramentas, métodos e técnicas para identificar oportunidades de melhorias nos sistemas logísticos.</w:t>
      </w:r>
    </w:p>
    <w:p w14:paraId="63BD04B8" w14:textId="77777777" w:rsidR="00F07ABB" w:rsidRDefault="00F07ABB" w:rsidP="00F07ABB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Utilizar competências gerenciais para liderar equipes que desenvolvam atividades logísticas.</w:t>
      </w:r>
    </w:p>
    <w:p w14:paraId="656AE999" w14:textId="77777777" w:rsidR="00F07ABB" w:rsidRDefault="00F07ABB" w:rsidP="00F07ABB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Construir planejamentos de custos empresariais, por meio de técnicas de custeio de produtos e serviços.</w:t>
      </w:r>
    </w:p>
    <w:p w14:paraId="51907BDB" w14:textId="77777777" w:rsidR="00F07ABB" w:rsidRDefault="00F07ABB" w:rsidP="00F07ABB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Identificar diferenças entre logística, cadeia de suprimentos, logística reversa e logística internacional.</w:t>
      </w:r>
    </w:p>
    <w:p w14:paraId="2EEC6244" w14:textId="77777777" w:rsidR="00F07ABB" w:rsidRDefault="00F07ABB" w:rsidP="00F07ABB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Desenvolver nos alunos competências e habilidades profissionais e pessoais fundamentais para exercício das práticas abordadas no curso.</w:t>
      </w:r>
    </w:p>
    <w:p w14:paraId="3D829F26" w14:textId="77777777" w:rsidR="00F07ABB" w:rsidRDefault="00F07ABB" w:rsidP="00F07ABB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Proporcionar o conhecimento necessário ao aluno para a melhoria de um processo existente ou desenvolvimento de um processo novo com foco em redução de custo, otimização de recursos e processos sustentáveis.</w:t>
      </w:r>
    </w:p>
    <w:p w14:paraId="5720437A" w14:textId="77777777" w:rsidR="00F07ABB" w:rsidRDefault="00F07ABB" w:rsidP="00F07ABB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Disciplinas</w:t>
      </w:r>
    </w:p>
    <w:p w14:paraId="0BC994E3" w14:textId="77777777" w:rsidR="00F07ABB" w:rsidRDefault="00F07ABB" w:rsidP="00F07ABB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Ambientação</w:t>
      </w:r>
    </w:p>
    <w:p w14:paraId="4F617BB7" w14:textId="77777777" w:rsidR="00F07ABB" w:rsidRDefault="00F07ABB" w:rsidP="00F07ABB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Gestão da cadeia de suprimentos e logística</w:t>
      </w:r>
    </w:p>
    <w:p w14:paraId="69D3FE9C" w14:textId="5E7FDBD3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Mestre(a)Larissa Maria Palacio dos Santos</w:t>
      </w:r>
    </w:p>
    <w:p w14:paraId="04DB8C6E" w14:textId="77777777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75A6FEB2" w14:textId="77777777" w:rsidR="00F07ABB" w:rsidRDefault="00F07ABB" w:rsidP="00F07ABB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Armazenagem, gestão de transportes e distribuição</w:t>
      </w:r>
    </w:p>
    <w:p w14:paraId="2285EF59" w14:textId="64A6B110" w:rsidR="00F07ABB" w:rsidRDefault="00F07ABB" w:rsidP="00F07ABB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lastRenderedPageBreak/>
        <w:t>Mestre(a)Marcos Venancio Cavalcanti de Albuquerqu</w:t>
      </w:r>
    </w:p>
    <w:p w14:paraId="073BE667" w14:textId="77777777" w:rsidR="00F07ABB" w:rsidRDefault="00F07ABB" w:rsidP="00F07ABB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2002B252" w14:textId="77777777" w:rsidR="00F07ABB" w:rsidRDefault="00F07ABB" w:rsidP="00F07ABB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Gestão de custos logísticos</w:t>
      </w:r>
    </w:p>
    <w:p w14:paraId="227FB068" w14:textId="7A9C8B2C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Mestre(a)Eder Silva Frois</w:t>
      </w:r>
    </w:p>
    <w:p w14:paraId="179F5D9A" w14:textId="77777777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57D68BED" w14:textId="77777777" w:rsidR="00F07ABB" w:rsidRDefault="00F07ABB" w:rsidP="00F07ABB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Previsão de demanda e gestão de estoques</w:t>
      </w:r>
    </w:p>
    <w:p w14:paraId="5CC2D8AA" w14:textId="4B48278D" w:rsidR="00F07ABB" w:rsidRDefault="00F07ABB" w:rsidP="00F07ABB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Doutor(a)Michele Lisboa Silveira</w:t>
      </w:r>
    </w:p>
    <w:p w14:paraId="39FEDC3B" w14:textId="77777777" w:rsidR="00F07ABB" w:rsidRDefault="00F07ABB" w:rsidP="00F07ABB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0153A18C" w14:textId="77777777" w:rsidR="00F07ABB" w:rsidRDefault="00F07ABB" w:rsidP="00F07ABB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Logística reversa</w:t>
      </w:r>
    </w:p>
    <w:p w14:paraId="006930BC" w14:textId="47254122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EspecialistaJorge Alexandre Valdecir de Souza Fagund</w:t>
      </w:r>
    </w:p>
    <w:p w14:paraId="5E7F4A9A" w14:textId="77777777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545DE506" w14:textId="77777777" w:rsidR="00F07ABB" w:rsidRDefault="00F07ABB" w:rsidP="00F07ABB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Logística internacional</w:t>
      </w:r>
    </w:p>
    <w:p w14:paraId="3127FAE9" w14:textId="485B92B6" w:rsidR="00F07ABB" w:rsidRDefault="00F07ABB" w:rsidP="00F07ABB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Mestre(a)Johny Henrique Magalhães Casado</w:t>
      </w:r>
    </w:p>
    <w:p w14:paraId="65D18D6A" w14:textId="77777777" w:rsidR="00F07ABB" w:rsidRDefault="00F07ABB" w:rsidP="00F07ABB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332B145E" w14:textId="77777777" w:rsidR="00F07ABB" w:rsidRDefault="00F07ABB" w:rsidP="00F07ABB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Gerenciamento estratégico de projetos</w:t>
      </w:r>
    </w:p>
    <w:p w14:paraId="16B93377" w14:textId="0EEE4A8A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EspecialistaCharlie Hudson Turette Lopes</w:t>
      </w:r>
    </w:p>
    <w:p w14:paraId="59F8237C" w14:textId="77777777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1F764249" w14:textId="77777777" w:rsidR="00F07ABB" w:rsidRDefault="00F07ABB" w:rsidP="00F07ABB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Gerenciamento de processos</w:t>
      </w:r>
    </w:p>
    <w:p w14:paraId="16D9B620" w14:textId="4A80CB4B" w:rsidR="00F07ABB" w:rsidRDefault="00F07ABB" w:rsidP="00F07ABB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EspecialistaCharlie Hudson Turette Lopes</w:t>
      </w:r>
    </w:p>
    <w:p w14:paraId="392CA7AB" w14:textId="77777777" w:rsidR="00F07ABB" w:rsidRDefault="00F07ABB" w:rsidP="00F07ABB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01290DE3" w14:textId="77777777" w:rsidR="00F07ABB" w:rsidRDefault="00F07ABB" w:rsidP="00F07ABB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Gestão de carreira</w:t>
      </w:r>
    </w:p>
    <w:p w14:paraId="1F066AE0" w14:textId="02FD9A43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Mestre(a)Paula Vitória Galesi Abdala Boarin</w:t>
      </w:r>
    </w:p>
    <w:p w14:paraId="543EC9B3" w14:textId="77777777" w:rsidR="00F07ABB" w:rsidRDefault="00F07ABB" w:rsidP="00F07ABB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07CCB175" w14:textId="77777777" w:rsidR="00F07ABB" w:rsidRDefault="00F07ABB" w:rsidP="00F07ABB">
      <w:pPr>
        <w:pStyle w:val="Ttulo3"/>
        <w:shd w:val="clear" w:color="auto" w:fill="FFFFFF"/>
        <w:spacing w:before="0"/>
        <w:rPr>
          <w:rFonts w:ascii="inherit" w:hAnsi="inherit" w:cs="Poppins"/>
          <w:b/>
          <w:bCs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Trabalho de conclusão de curso:</w:t>
      </w:r>
    </w:p>
    <w:p w14:paraId="52C093FE" w14:textId="77777777" w:rsidR="00F07ABB" w:rsidRDefault="00F07ABB" w:rsidP="00F07ABB">
      <w:pPr>
        <w:pStyle w:val="striped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De acordo com a Resolução de abril de 2018, emitida pelo Conselho Nacional de Educação (CNE), o trabalho de conclusão de curso (TCC) não é mais requisito obrigatório para certificação de especialização, com exceção de alguns cursos presenciais da área da saúde e engenharia em que o conselho de classe determina, sendo assim, a realização do TCC não está disponível para os cursos EaD em nossa Instituição.</w:t>
      </w:r>
    </w:p>
    <w:p w14:paraId="40FA63D8" w14:textId="77777777" w:rsidR="00F07ABB" w:rsidRDefault="00F07ABB" w:rsidP="00F07ABB">
      <w:pPr>
        <w:pStyle w:val="Ttulo2"/>
        <w:shd w:val="clear" w:color="auto" w:fill="114C7E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Certificação</w:t>
      </w:r>
    </w:p>
    <w:p w14:paraId="60D536E0" w14:textId="77777777" w:rsidR="00F07ABB" w:rsidRDefault="00F07ABB" w:rsidP="00F07ABB">
      <w:pPr>
        <w:pStyle w:val="NormalWeb"/>
        <w:shd w:val="clear" w:color="auto" w:fill="114C7E"/>
        <w:spacing w:before="0" w:beforeAutospacing="0" w:after="0" w:afterAutospacing="0"/>
        <w:rPr>
          <w:rFonts w:ascii="Poppins" w:hAnsi="Poppins" w:cs="Poppins"/>
          <w:color w:val="FFFFFF"/>
          <w:sz w:val="21"/>
          <w:szCs w:val="21"/>
        </w:rPr>
      </w:pPr>
      <w:r>
        <w:rPr>
          <w:rFonts w:ascii="Poppins" w:hAnsi="Poppins" w:cs="Poppins"/>
          <w:color w:val="FFFFFF"/>
          <w:sz w:val="21"/>
          <w:szCs w:val="21"/>
        </w:rPr>
        <w:t>A certificação na modalidade EAD tem a mesma validade que um curso presencial. Os cursos de Pós-Graduação a distância são certificados pela Instituição Pitágoras Unopar Anhanguera.</w:t>
      </w:r>
    </w:p>
    <w:p w14:paraId="6EA70E4E" w14:textId="77777777" w:rsidR="00F07ABB" w:rsidRDefault="00F07ABB" w:rsidP="00F07ABB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Sobre a modalidade</w:t>
      </w:r>
    </w:p>
    <w:p w14:paraId="19DCCBDC" w14:textId="77777777" w:rsidR="00F07ABB" w:rsidRDefault="00F07ABB" w:rsidP="00F07ABB">
      <w:pPr>
        <w:pStyle w:val="Ttulo3"/>
        <w:shd w:val="clear" w:color="auto" w:fill="FFFFFF"/>
        <w:spacing w:before="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Conheça seu Curso:</w:t>
      </w:r>
    </w:p>
    <w:p w14:paraId="468584C6" w14:textId="77777777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</w:p>
    <w:p w14:paraId="0B436F35" w14:textId="77777777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b/>
          <w:bCs/>
          <w:color w:val="333333"/>
          <w:sz w:val="21"/>
          <w:szCs w:val="21"/>
        </w:rPr>
        <w:lastRenderedPageBreak/>
        <w:t>Cursos a distância (online):</w:t>
      </w:r>
      <w:r>
        <w:rPr>
          <w:rFonts w:ascii="Poppins" w:hAnsi="Poppins" w:cs="Poppins"/>
          <w:color w:val="333333"/>
          <w:sz w:val="21"/>
          <w:szCs w:val="21"/>
        </w:rPr>
        <w:t>Os cursos a distância são ideais para você que valoriza a mobilidade e a flexibilidade quanto aos seus horários de estudo, no seu ritmo de aprendizagem.</w:t>
      </w:r>
    </w:p>
    <w:p w14:paraId="350DFE79" w14:textId="77777777" w:rsidR="00F07ABB" w:rsidRDefault="00F07ABB" w:rsidP="00F07ABB">
      <w:pPr>
        <w:shd w:val="clear" w:color="auto" w:fill="F2F2F2"/>
        <w:spacing w:line="315" w:lineRule="atLeast"/>
        <w:rPr>
          <w:rFonts w:ascii="Poppins" w:hAnsi="Poppins" w:cs="Poppins"/>
          <w:b/>
          <w:bCs/>
          <w:color w:val="004168"/>
          <w:sz w:val="21"/>
          <w:szCs w:val="21"/>
        </w:rPr>
      </w:pPr>
      <w:r>
        <w:rPr>
          <w:rFonts w:ascii="Poppins" w:hAnsi="Poppins" w:cs="Poppins"/>
          <w:b/>
          <w:bCs/>
          <w:color w:val="004168"/>
          <w:sz w:val="21"/>
          <w:szCs w:val="21"/>
        </w:rPr>
        <w:t>Você estuda 100% online e a carga horária do curso é de 360 horas, distribuídas em 9 disciplinas específicas (40h cada disciplina). Para o cumprimento de regulamentações específicas, alguns cursos possuem carga horária total maior, quantidade de disciplinas e carga horária disciplinar variadas (consulte a matriz curricular do curso).</w:t>
      </w:r>
    </w:p>
    <w:p w14:paraId="74E846F7" w14:textId="77777777" w:rsidR="00F07ABB" w:rsidRDefault="00F07ABB" w:rsidP="00F07ABB">
      <w:pPr>
        <w:shd w:val="clear" w:color="auto" w:fill="FFFFFF"/>
        <w:spacing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A cada disciplina, você contará com leituras digitais, slides, videoaulas e podcasts preparados por professores de destaque na área, que aliam conhecimentos teóricos e discussões sobre a prática profissional, como aprendizagem em foco. Além disso, você também terá o Desafio Profissional e atividades avaliativas que o ajudarão ainda mais a colocar em prática todo o aprendizado.</w:t>
      </w:r>
    </w:p>
    <w:p w14:paraId="0DF757DC" w14:textId="77777777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Você contará também com o acompanhamento de um tutor para auxiliá-lo nas dúvidas que surgirem durante seu curso.</w:t>
      </w:r>
    </w:p>
    <w:p w14:paraId="64F25C93" w14:textId="77777777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A certificação de um curso EAD é igual ao do curso presencial.</w:t>
      </w:r>
    </w:p>
    <w:p w14:paraId="40D66272" w14:textId="77777777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  <w:r>
        <w:rPr>
          <w:rStyle w:val="Forte"/>
          <w:rFonts w:ascii="Poppins" w:hAnsi="Poppins" w:cs="Poppins"/>
          <w:color w:val="333333"/>
          <w:sz w:val="21"/>
          <w:szCs w:val="21"/>
        </w:rPr>
        <w:t>Diferenciais da Pós-Graduação EAD</w:t>
      </w:r>
      <w:r>
        <w:rPr>
          <w:rFonts w:ascii="Poppins" w:hAnsi="Poppins" w:cs="Poppins"/>
          <w:color w:val="333333"/>
          <w:sz w:val="21"/>
          <w:szCs w:val="21"/>
        </w:rPr>
        <w:br/>
      </w:r>
    </w:p>
    <w:p w14:paraId="7B8B9098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Ambiente Virtual de Aprendizagem (AVA) (Todos os serviços em uma plataforma de ensino digital e completa)</w:t>
      </w:r>
    </w:p>
    <w:p w14:paraId="3437079D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Canal Conecta</w:t>
      </w:r>
    </w:p>
    <w:p w14:paraId="3E2BD732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Biblioteca Virtual</w:t>
      </w:r>
    </w:p>
    <w:p w14:paraId="32EB65BE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Cursos Livres gratuitos</w:t>
      </w:r>
    </w:p>
    <w:p w14:paraId="0BAAF5EE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Disciplina ambientação</w:t>
      </w:r>
    </w:p>
    <w:p w14:paraId="38A95F03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Tutorial – atendimento em até 24h (média de 10h)</w:t>
      </w:r>
    </w:p>
    <w:p w14:paraId="54AECEBB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Material Didático e Videoaula exclusivos e com diversos objetos de aprendizagem</w:t>
      </w:r>
    </w:p>
    <w:p w14:paraId="513DB134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Correção automática da Avaliação Virtual – nota imediata no Boletim do aluno</w:t>
      </w:r>
    </w:p>
    <w:p w14:paraId="46C3E67E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Duração em 10, 6 ou 4 meses</w:t>
      </w:r>
    </w:p>
    <w:p w14:paraId="646E3801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Inscrição, matrícula e upload da documentação online</w:t>
      </w:r>
    </w:p>
    <w:p w14:paraId="73675C19" w14:textId="77777777" w:rsidR="00F07ABB" w:rsidRDefault="00F07ABB" w:rsidP="00F07AB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Flexibilidade de lugar e de horário para assistir as aulas</w:t>
      </w:r>
    </w:p>
    <w:p w14:paraId="5F450DD6" w14:textId="77777777" w:rsidR="00F07ABB" w:rsidRDefault="00F07ABB" w:rsidP="00F07ABB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MEC</w:t>
      </w:r>
    </w:p>
    <w:p w14:paraId="7730B42A" w14:textId="77777777" w:rsidR="00F07ABB" w:rsidRDefault="00F07ABB" w:rsidP="00F07ABB">
      <w:pPr>
        <w:pStyle w:val="Ttulo3"/>
        <w:shd w:val="clear" w:color="auto" w:fill="FFFFFF"/>
        <w:spacing w:before="0" w:after="15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MEC - Ministério da Educação</w:t>
      </w:r>
    </w:p>
    <w:p w14:paraId="227C9EE7" w14:textId="77777777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Conselho Nacional de Educação - Câmara de educação superior</w:t>
      </w:r>
    </w:p>
    <w:p w14:paraId="21E8D046" w14:textId="77777777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7B8AC46C" w14:textId="77777777" w:rsidR="00F07ABB" w:rsidRDefault="00F07ABB" w:rsidP="00F07ABB">
      <w:pPr>
        <w:pStyle w:val="Ttulo3"/>
        <w:shd w:val="clear" w:color="auto" w:fill="FFFFFF"/>
        <w:spacing w:before="0" w:after="15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lastRenderedPageBreak/>
        <w:t>RESOLUÇÃO N°1, DE 6 DE ABRIL DE 2018 (*)</w:t>
      </w:r>
    </w:p>
    <w:p w14:paraId="7A36BBF7" w14:textId="40BFE803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O Portal Pós traz cursos de Pós-Graduação de grandes instituições pelo Brasil. Todas atendem à Resolução N° 1, de 6 de abril de 2018 do Ministério da Educação Conselho Nacional de Educação (MEC) referente aos cursos de Pós-graduação.</w:t>
      </w:r>
      <w:r>
        <w:rPr>
          <w:rFonts w:ascii="Poppins" w:hAnsi="Poppins" w:cs="Poppins"/>
          <w:color w:val="333333"/>
          <w:sz w:val="21"/>
          <w:szCs w:val="21"/>
        </w:rPr>
        <w:br/>
      </w:r>
    </w:p>
    <w:p w14:paraId="47071856" w14:textId="76DE145B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O Presidente da Câmara de Educação Superior do Conselho Nacional de Educação (CNE), no uso de suas atribuições legais, com fundamento no art. 9º, § 2º, alínea “h”, da Lei nº 4.024, de 20 de dezembro de 1961, com a redação dada pela Lei nº 9.131, de 24 de novembro de 1995, nos artigos 39, 40, 44 e 66 da Lei nº 9.394, de 20 de dezembro de 1996, no Decreto nº 9.057, de 25 de maio de 2017, e no Decreto nº 9.235, de 15 de dezembro de 2017, e com fundamento no Parecer CNE/CES nº 146/2018, homologado por Despacho do Senhor Ministro de Estado da Educação, publicado no Diário Oficial da União de 6 de abril de 2018, resolve:</w:t>
      </w:r>
      <w:r>
        <w:rPr>
          <w:rFonts w:ascii="Poppins" w:hAnsi="Poppins" w:cs="Poppins"/>
          <w:color w:val="333333"/>
          <w:sz w:val="21"/>
          <w:szCs w:val="21"/>
        </w:rPr>
        <w:br/>
      </w:r>
    </w:p>
    <w:p w14:paraId="31147D88" w14:textId="6525D15F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Art. 1° Os cursos de pós-graduação lato sensu oferecidos por instituições de educação superior devidamente credenciadas independem de autorização, reconhecimento e renovação de reconhecimento, e devem atender ao disposto nesta Resolução.</w:t>
      </w:r>
      <w:r>
        <w:rPr>
          <w:rFonts w:ascii="Poppins" w:hAnsi="Poppins" w:cs="Poppins"/>
          <w:color w:val="333333"/>
          <w:sz w:val="21"/>
          <w:szCs w:val="21"/>
        </w:rPr>
        <w:br/>
      </w:r>
    </w:p>
    <w:p w14:paraId="7A209ACD" w14:textId="77777777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1° Incluem-se na categoria de curso de pós-graduação lato sensu aqueles cuja equivalência se ajuste aos termos desta Resolução.</w:t>
      </w:r>
    </w:p>
    <w:p w14:paraId="4FDFA6DA" w14:textId="452986D1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</w:p>
    <w:p w14:paraId="5210E71D" w14:textId="77777777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2° Excluem-se desta Resolução os cursos de pós-graduação denominados de aperfeiçoamento e outros.</w:t>
      </w:r>
    </w:p>
    <w:p w14:paraId="6D7F2F48" w14:textId="74ADA896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</w:p>
    <w:p w14:paraId="65AF5931" w14:textId="4D6AD87C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3° Os cursos de pós-graduação lato sensu são abertos a candidatos diplomados com cursos de graduação ou demais cursos superiores e que atendam às exigências das instituições de ensino.</w:t>
      </w:r>
    </w:p>
    <w:p w14:paraId="16FFF6D9" w14:textId="77777777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</w:p>
    <w:p w14:paraId="12FD8ECF" w14:textId="77777777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4° As instituições especialmente credenciadas para atuar nesse nível educacional poderão ofertar cursos de especialização, única e exclusivamente, na área do saber e no endereço definido no ato de seu credenciamento, atendido ao disposto nesta Resolução.</w:t>
      </w:r>
    </w:p>
    <w:p w14:paraId="245C6528" w14:textId="77777777" w:rsidR="00F07ABB" w:rsidRDefault="00F07ABB" w:rsidP="00F07ABB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07A16DBA" w14:textId="77777777" w:rsidR="00F07ABB" w:rsidRDefault="00F07ABB" w:rsidP="00F07ABB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i/>
          <w:iCs/>
          <w:color w:val="333333"/>
          <w:sz w:val="21"/>
          <w:szCs w:val="21"/>
        </w:rPr>
        <w:t>(*) Resolução CNE/CES 1/2018. Diário Oficial da União, Brasília, 9 de abril de 2018, Seção 1, pág. 43.</w:t>
      </w:r>
    </w:p>
    <w:p w14:paraId="4C3B7533" w14:textId="77777777" w:rsidR="00F07ABB" w:rsidRPr="00F07ABB" w:rsidRDefault="00F07ABB" w:rsidP="00F07ABB"/>
    <w:sectPr w:rsidR="00F07ABB" w:rsidRPr="00F07A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14CE8"/>
    <w:multiLevelType w:val="multilevel"/>
    <w:tmpl w:val="635C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0B75A2"/>
    <w:multiLevelType w:val="multilevel"/>
    <w:tmpl w:val="0EE0EB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7A3D44D3"/>
    <w:multiLevelType w:val="multilevel"/>
    <w:tmpl w:val="0D66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BB"/>
    <w:rsid w:val="00C43A46"/>
    <w:rsid w:val="00F0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88DC"/>
  <w15:chartTrackingRefBased/>
  <w15:docId w15:val="{5EAAA9E2-4E94-4C0C-93AF-C227E7F0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07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07A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07A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7AB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07AB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07A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07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fo-name">
    <w:name w:val="info-name"/>
    <w:basedOn w:val="Fontepargpadro"/>
    <w:rsid w:val="00F07ABB"/>
  </w:style>
  <w:style w:type="paragraph" w:customStyle="1" w:styleId="striped">
    <w:name w:val="striped"/>
    <w:basedOn w:val="Normal"/>
    <w:rsid w:val="00F07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ume">
    <w:name w:val="resume"/>
    <w:basedOn w:val="Fontepargpadro"/>
    <w:rsid w:val="00F07ABB"/>
  </w:style>
  <w:style w:type="character" w:styleId="Hyperlink">
    <w:name w:val="Hyperlink"/>
    <w:basedOn w:val="Fontepargpadro"/>
    <w:uiPriority w:val="99"/>
    <w:semiHidden/>
    <w:unhideWhenUsed/>
    <w:rsid w:val="00F07ABB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F07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4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67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01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8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6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2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84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2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52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9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3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43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75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7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86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4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41805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9861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194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2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3835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1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9377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5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10544B48A5F643A2909BD184437DAC" ma:contentTypeVersion="15" ma:contentTypeDescription="Crie um novo documento." ma:contentTypeScope="" ma:versionID="cb0eaa2f7d1586fe1206956a1935b30e">
  <xsd:schema xmlns:xsd="http://www.w3.org/2001/XMLSchema" xmlns:xs="http://www.w3.org/2001/XMLSchema" xmlns:p="http://schemas.microsoft.com/office/2006/metadata/properties" xmlns:ns2="466a193b-1fd2-441c-b191-80e22ab38879" xmlns:ns3="a1a7d75f-5527-4451-95f9-7d5ecb7a0821" targetNamespace="http://schemas.microsoft.com/office/2006/metadata/properties" ma:root="true" ma:fieldsID="9dcaad03884ad8278d7b590a84e50651" ns2:_="" ns3:_="">
    <xsd:import namespace="466a193b-1fd2-441c-b191-80e22ab38879"/>
    <xsd:import namespace="a1a7d75f-5527-4451-95f9-7d5ecb7a0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a193b-1fd2-441c-b191-80e22ab38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1e4ab9-48e6-401e-8cb3-95486c831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7d75f-5527-4451-95f9-7d5ecb7a0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0ea29b5-b5f4-464a-af12-0464d57a5472}" ma:internalName="TaxCatchAll" ma:showField="CatchAllData" ma:web="a1a7d75f-5527-4451-95f9-7d5ecb7a0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a7d75f-5527-4451-95f9-7d5ecb7a0821" xsi:nil="true"/>
    <lcf76f155ced4ddcb4097134ff3c332f xmlns="466a193b-1fd2-441c-b191-80e22ab388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59C93E-3A5D-4CE7-94B1-86CAD2DBFD63}"/>
</file>

<file path=customXml/itemProps2.xml><?xml version="1.0" encoding="utf-8"?>
<ds:datastoreItem xmlns:ds="http://schemas.openxmlformats.org/officeDocument/2006/customXml" ds:itemID="{42C9E358-CEEE-4E23-9EC5-AAF91250F2EF}"/>
</file>

<file path=customXml/itemProps3.xml><?xml version="1.0" encoding="utf-8"?>
<ds:datastoreItem xmlns:ds="http://schemas.openxmlformats.org/officeDocument/2006/customXml" ds:itemID="{01E48481-8BA3-4EE2-8D0D-D2D3B7E673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1025</Words>
  <Characters>5541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Malcher</dc:creator>
  <cp:keywords/>
  <dc:description/>
  <cp:lastModifiedBy>Roberta Malcher</cp:lastModifiedBy>
  <cp:revision>1</cp:revision>
  <dcterms:created xsi:type="dcterms:W3CDTF">2023-04-03T13:50:00Z</dcterms:created>
  <dcterms:modified xsi:type="dcterms:W3CDTF">2023-04-03T13:52:00Z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0x0101008110544B48A5F643A2909BD184437DAC</vt:lpwstr>
  </property>
  <property fmtid="{D5CDD505-2E9C-101B-9397-08002B2CF9AE}" pid="4" name="docLang">
    <vt:lpwstr>pt</vt:lpwstr>
  </property>
  <property fmtid="{D5CDD505-2E9C-101B-9397-08002B2CF9AE}" pid="5" name="MediaServiceImageTags">
    <vt:lpwstr/>
  </property>
</Properties>
</file>